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AE76" w14:textId="77777777" w:rsidR="001358AE" w:rsidRPr="008C36EC" w:rsidRDefault="004269B4">
      <w:pPr>
        <w:jc w:val="center"/>
        <w:rPr>
          <w:lang w:val="pt-BR"/>
        </w:rPr>
      </w:pPr>
      <w:bookmarkStart w:id="0" w:name="_Hlk215764691"/>
      <w:r>
        <w:rPr>
          <w:rFonts w:ascii="Tahoma" w:eastAsia="Tahoma" w:hAnsi="Tahoma" w:cs="Tahoma"/>
          <w:b/>
          <w:bCs/>
          <w:color w:val="000000"/>
          <w:lang w:val="pt-BR"/>
        </w:rPr>
        <w:t xml:space="preserve">CHAMADA PÚBLICA MCTI/FINEP/FNDCT </w:t>
      </w:r>
    </w:p>
    <w:p w14:paraId="1C99AE77" w14:textId="77777777" w:rsidR="001358AE" w:rsidRPr="008C36EC" w:rsidRDefault="004269B4">
      <w:pPr>
        <w:jc w:val="center"/>
        <w:rPr>
          <w:lang w:val="pt-BR"/>
        </w:rPr>
      </w:pPr>
      <w:r>
        <w:rPr>
          <w:rFonts w:ascii="Tahoma" w:hAnsi="Tahoma" w:cs="Tahoma"/>
          <w:b/>
          <w:color w:val="000000"/>
          <w:lang w:val="pt-BR"/>
        </w:rPr>
        <w:t>PESQUISA APLICADA EM CENTROS TEMÁTICOS 2025</w:t>
      </w:r>
    </w:p>
    <w:bookmarkEnd w:id="0"/>
    <w:p w14:paraId="1C99AE78" w14:textId="77777777" w:rsidR="001358AE" w:rsidRDefault="001358AE">
      <w:pPr>
        <w:spacing w:before="240"/>
        <w:rPr>
          <w:rFonts w:ascii="Tahoma" w:hAnsi="Tahoma" w:cs="Tahoma"/>
          <w:sz w:val="22"/>
          <w:szCs w:val="22"/>
          <w:lang w:val="pt-BR"/>
        </w:rPr>
      </w:pPr>
    </w:p>
    <w:p w14:paraId="1C99AE79" w14:textId="77777777" w:rsidR="001358AE" w:rsidRDefault="004269B4">
      <w:pPr>
        <w:spacing w:before="240"/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  <w:lang w:val="pt-BR"/>
        </w:rPr>
        <w:t>Guia Rápido</w:t>
      </w:r>
    </w:p>
    <w:p w14:paraId="1C99AE7A" w14:textId="77777777" w:rsidR="001358AE" w:rsidRDefault="001358AE">
      <w:pPr>
        <w:pStyle w:val="Standard"/>
        <w:spacing w:after="120" w:line="360" w:lineRule="auto"/>
        <w:ind w:right="397"/>
        <w:rPr>
          <w:rFonts w:ascii="Tahoma" w:hAnsi="Tahoma" w:cs="Tahoma"/>
          <w:b/>
          <w:color w:val="000000"/>
        </w:rPr>
      </w:pPr>
    </w:p>
    <w:p w14:paraId="1C99AE7B" w14:textId="77777777" w:rsidR="001358AE" w:rsidRPr="00D73CE8" w:rsidRDefault="004269B4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Este guia resume os principais pontos do Edital da CHAMADA PÚBLICA MCTI/FINEP/FNDCT PESQUISA APLICADA EM CENTROS TEMÁTICOS 2025 para ajudar instituições proponentes a entenderem e prepararem suas propostas com mais facilidade, mantendo o rigor técnico necessário.</w:t>
      </w:r>
    </w:p>
    <w:p w14:paraId="1C99AE7C" w14:textId="77777777" w:rsidR="001358AE" w:rsidRPr="00D73CE8" w:rsidRDefault="004269B4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Este documento tem o objetivo de ajudar na compreensão do edital, mas não substitui sua leitura.</w:t>
      </w:r>
    </w:p>
    <w:p w14:paraId="1C99AE7E" w14:textId="77777777" w:rsidR="001358AE" w:rsidRDefault="004269B4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O que é esta Chamada Pública?</w:t>
      </w:r>
    </w:p>
    <w:p w14:paraId="0E4333EC" w14:textId="0B93AF7B" w:rsidR="00D73CE8" w:rsidRPr="00D73CE8" w:rsidRDefault="004269B4" w:rsidP="00D73CE8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Seleção pública para apoio financeiro a </w:t>
      </w:r>
      <w:r w:rsidR="00D73CE8">
        <w:rPr>
          <w:rStyle w:val="Tipodeletrapredefinidodopargrafo"/>
          <w:rFonts w:ascii="Tahoma" w:eastAsia="Times New Roman" w:hAnsi="Tahoma" w:cs="Tahoma"/>
          <w:b/>
          <w:sz w:val="22"/>
          <w:szCs w:val="22"/>
          <w:lang w:val="pt-BR" w:eastAsia="pt-BR"/>
        </w:rPr>
        <w:t>projetos de pesquisa aplicada, que resultem em produto e/ou processo inovador</w:t>
      </w:r>
      <w:r w:rsid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 voltado para as áreas temáticas definidas e alinhadas à Nova Indústria Brasil.</w:t>
      </w:r>
    </w:p>
    <w:p w14:paraId="451CD17D" w14:textId="77777777" w:rsidR="00D73CE8" w:rsidRDefault="00D73CE8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</w:p>
    <w:p w14:paraId="1C99AE84" w14:textId="3BBFB8AE" w:rsidR="001358AE" w:rsidRDefault="004269B4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Quem pode participar?</w:t>
      </w:r>
    </w:p>
    <w:p w14:paraId="1C99AE85" w14:textId="77777777" w:rsidR="001358AE" w:rsidRPr="00D73CE8" w:rsidRDefault="004269B4" w:rsidP="00D73CE8">
      <w:pPr>
        <w:pStyle w:val="PargrafodaLista"/>
        <w:numPr>
          <w:ilvl w:val="0"/>
          <w:numId w:val="5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Podem participar Instituições Científica, Tecnológica e de Inovação (ICTs) públicas ou privadas como ICT Executora Principal ou como ICT Coexecutora.</w:t>
      </w:r>
    </w:p>
    <w:p w14:paraId="1C99AE86" w14:textId="1E4186EF" w:rsidR="001358AE" w:rsidRPr="00D73CE8" w:rsidRDefault="004269B4" w:rsidP="00D73CE8">
      <w:pPr>
        <w:pStyle w:val="PargrafodaLista"/>
        <w:numPr>
          <w:ilvl w:val="0"/>
          <w:numId w:val="5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Cada ICT pode apresentar 01 proposta como Executora Principal, não havendo limite de participação como </w:t>
      </w:r>
      <w:r w:rsidR="00D73CE8"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c</w:t>
      </w: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oexecutora.</w:t>
      </w:r>
    </w:p>
    <w:p w14:paraId="1C99AE87" w14:textId="52E23E96" w:rsidR="001358AE" w:rsidRPr="00D73CE8" w:rsidRDefault="004269B4" w:rsidP="00D73CE8">
      <w:pPr>
        <w:pStyle w:val="PargrafodaLista"/>
        <w:numPr>
          <w:ilvl w:val="0"/>
          <w:numId w:val="5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Para participar, todas as Instituições envolvidas deverão ser previamente cadastradas em </w:t>
      </w:r>
      <w:r>
        <w:fldChar w:fldCharType="begin"/>
      </w:r>
      <w:r w:rsidRPr="003D0FC6">
        <w:rPr>
          <w:lang w:val="pt-BR"/>
        </w:rPr>
        <w:instrText>HYPERLINK "https://cadastro.finep.gov.br/"</w:instrText>
      </w:r>
      <w:r>
        <w:fldChar w:fldCharType="separate"/>
      </w:r>
      <w:r w:rsidRPr="00D73CE8">
        <w:rPr>
          <w:rStyle w:val="Hyperlink"/>
          <w:rFonts w:ascii="Tahoma" w:eastAsia="Times New Roman" w:hAnsi="Tahoma" w:cs="Tahoma"/>
          <w:bCs/>
          <w:sz w:val="22"/>
          <w:szCs w:val="22"/>
          <w:lang w:val="pt-BR" w:eastAsia="pt-BR"/>
        </w:rPr>
        <w:t>https://cadastro.finep.gov.br/</w:t>
      </w:r>
      <w:r>
        <w:fldChar w:fldCharType="end"/>
      </w:r>
    </w:p>
    <w:p w14:paraId="1C99AE88" w14:textId="77777777" w:rsidR="001358AE" w:rsidRPr="00D73CE8" w:rsidRDefault="001358AE">
      <w:pPr>
        <w:spacing w:after="120"/>
        <w:ind w:right="-2"/>
        <w:jc w:val="both"/>
        <w:rPr>
          <w:lang w:val="pt-BR"/>
        </w:rPr>
      </w:pPr>
    </w:p>
    <w:p w14:paraId="1C99AE89" w14:textId="77777777" w:rsidR="001358AE" w:rsidRDefault="004269B4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Em qual Linhas Temáticas minha proposta deve se enquadrar?</w:t>
      </w:r>
    </w:p>
    <w:p w14:paraId="1C99AE8A" w14:textId="77777777" w:rsidR="001358AE" w:rsidRPr="00D73CE8" w:rsidRDefault="004269B4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As propostas devem se enquadrar nos subtemas de uma das 06 Linhas Temáticas previstas no edital. As Linhas Temáticas, e os respectivos subtemas, são listadas a seguir e apresentados com mais detalhes no Anexo I:</w:t>
      </w:r>
    </w:p>
    <w:p w14:paraId="1C99AE8B" w14:textId="77777777" w:rsidR="001358AE" w:rsidRPr="00D73CE8" w:rsidRDefault="001358AE">
      <w:pPr>
        <w:spacing w:after="120"/>
        <w:ind w:right="-2"/>
        <w:jc w:val="both"/>
        <w:rPr>
          <w:lang w:val="pt-BR"/>
        </w:rPr>
      </w:pPr>
    </w:p>
    <w:p w14:paraId="1C99AE8C" w14:textId="77777777" w:rsidR="001358AE" w:rsidRDefault="004269B4">
      <w:pPr>
        <w:keepNext/>
        <w:spacing w:after="120"/>
        <w:jc w:val="both"/>
      </w:pPr>
      <w:r>
        <w:rPr>
          <w:rStyle w:val="Tipodeletrapredefinidodopargrafo"/>
          <w:rFonts w:ascii="Tahoma" w:eastAsia="Times New Roman" w:hAnsi="Tahoma" w:cs="Tahoma"/>
          <w:b/>
          <w:sz w:val="22"/>
          <w:szCs w:val="22"/>
          <w:lang w:val="pt-BR" w:eastAsia="pt-BR"/>
        </w:rPr>
        <w:t xml:space="preserve">Linha Temática 1: </w:t>
      </w: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Cadeias Agroindustriais Sustentáveis</w:t>
      </w:r>
    </w:p>
    <w:p w14:paraId="1C99AE8D" w14:textId="77777777" w:rsidR="001358AE" w:rsidRDefault="004269B4" w:rsidP="00D73CE8">
      <w:pPr>
        <w:pStyle w:val="PargrafodaLista"/>
        <w:keepNext/>
        <w:numPr>
          <w:ilvl w:val="0"/>
          <w:numId w:val="6"/>
        </w:numPr>
        <w:spacing w:after="120"/>
        <w:jc w:val="both"/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Biotecnologia de precisão;</w:t>
      </w:r>
    </w:p>
    <w:p w14:paraId="1C99AE8E" w14:textId="77777777" w:rsidR="001358AE" w:rsidRPr="00D73CE8" w:rsidRDefault="004269B4" w:rsidP="00D73CE8">
      <w:pPr>
        <w:pStyle w:val="PargrafodaLista"/>
        <w:numPr>
          <w:ilvl w:val="0"/>
          <w:numId w:val="6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Agricultura de baixo carbono e uso eficiente de recursos;</w:t>
      </w:r>
    </w:p>
    <w:p w14:paraId="1C99AE8F" w14:textId="77777777" w:rsidR="001358AE" w:rsidRDefault="004269B4" w:rsidP="00D73CE8">
      <w:pPr>
        <w:pStyle w:val="PargrafodaLista"/>
        <w:numPr>
          <w:ilvl w:val="0"/>
          <w:numId w:val="6"/>
        </w:numPr>
        <w:spacing w:after="120"/>
        <w:ind w:right="-2"/>
        <w:jc w:val="both"/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Agropecuária digital;</w:t>
      </w:r>
    </w:p>
    <w:p w14:paraId="1C99AE90" w14:textId="77777777" w:rsidR="001358AE" w:rsidRPr="00D73CE8" w:rsidRDefault="004269B4" w:rsidP="00D73CE8">
      <w:pPr>
        <w:pStyle w:val="PargrafodaLista"/>
        <w:numPr>
          <w:ilvl w:val="0"/>
          <w:numId w:val="6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Saúde animal e segurança de alimentos de origem animal; e</w:t>
      </w:r>
    </w:p>
    <w:p w14:paraId="1C99AE91" w14:textId="77777777" w:rsidR="001358AE" w:rsidRPr="00D73CE8" w:rsidRDefault="004269B4" w:rsidP="00D73CE8">
      <w:pPr>
        <w:pStyle w:val="PargrafodaLista"/>
        <w:numPr>
          <w:ilvl w:val="0"/>
          <w:numId w:val="6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Utilização de </w:t>
      </w:r>
      <w:proofErr w:type="spellStart"/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bioinsumos</w:t>
      </w:r>
      <w:proofErr w:type="spellEnd"/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, valorização de resíduos agroindustriais e Agricultura Familiar.</w:t>
      </w:r>
    </w:p>
    <w:p w14:paraId="1C99AE92" w14:textId="77777777" w:rsidR="001358AE" w:rsidRPr="00D73CE8" w:rsidRDefault="001358AE">
      <w:pPr>
        <w:spacing w:after="120"/>
        <w:ind w:right="-2"/>
        <w:jc w:val="both"/>
        <w:rPr>
          <w:lang w:val="pt-BR"/>
        </w:rPr>
      </w:pPr>
    </w:p>
    <w:p w14:paraId="1C99AE93" w14:textId="77777777" w:rsidR="001358AE" w:rsidRDefault="004269B4">
      <w:pPr>
        <w:keepNext/>
        <w:spacing w:after="120"/>
        <w:jc w:val="both"/>
      </w:pPr>
      <w:r>
        <w:rPr>
          <w:rStyle w:val="Tipodeletrapredefinidodopargrafo"/>
          <w:rFonts w:ascii="Tahoma" w:eastAsia="Times New Roman" w:hAnsi="Tahoma" w:cs="Tahoma"/>
          <w:b/>
          <w:sz w:val="22"/>
          <w:szCs w:val="22"/>
          <w:lang w:val="pt-BR" w:eastAsia="pt-BR"/>
        </w:rPr>
        <w:lastRenderedPageBreak/>
        <w:t xml:space="preserve">Linha Temática 2: </w:t>
      </w: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Complexo da Saúde</w:t>
      </w:r>
    </w:p>
    <w:p w14:paraId="1C99AE94" w14:textId="77777777" w:rsidR="001358AE" w:rsidRDefault="004269B4" w:rsidP="00D73CE8">
      <w:pPr>
        <w:pStyle w:val="PargrafodaLista"/>
        <w:numPr>
          <w:ilvl w:val="0"/>
          <w:numId w:val="7"/>
        </w:numPr>
        <w:spacing w:after="120"/>
        <w:ind w:right="-2"/>
        <w:jc w:val="both"/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Plataformas de terapias avançadas;</w:t>
      </w:r>
    </w:p>
    <w:p w14:paraId="1C99AE95" w14:textId="77777777" w:rsidR="001358AE" w:rsidRPr="00D73CE8" w:rsidRDefault="004269B4" w:rsidP="00D73CE8">
      <w:pPr>
        <w:pStyle w:val="PargrafodaLista"/>
        <w:numPr>
          <w:ilvl w:val="0"/>
          <w:numId w:val="7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Produção nacional de </w:t>
      </w:r>
      <w:proofErr w:type="spellStart"/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IFAs</w:t>
      </w:r>
      <w:proofErr w:type="spellEnd"/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, vacinas e medicamentos;</w:t>
      </w:r>
    </w:p>
    <w:p w14:paraId="1C99AE96" w14:textId="77777777" w:rsidR="001358AE" w:rsidRPr="00D73CE8" w:rsidRDefault="004269B4" w:rsidP="00D73CE8">
      <w:pPr>
        <w:pStyle w:val="PargrafodaLista"/>
        <w:numPr>
          <w:ilvl w:val="0"/>
          <w:numId w:val="7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Infraestruturas de dados clínicos e sistemas digitais seguros;</w:t>
      </w:r>
    </w:p>
    <w:p w14:paraId="1C99AE97" w14:textId="77777777" w:rsidR="001358AE" w:rsidRPr="00D73CE8" w:rsidRDefault="004269B4" w:rsidP="00D73CE8">
      <w:pPr>
        <w:pStyle w:val="PargrafodaLista"/>
        <w:numPr>
          <w:ilvl w:val="0"/>
          <w:numId w:val="7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Desenvolvimento de dispositivos médicos e equipamentos hospitalares de alta complexidade; e</w:t>
      </w:r>
    </w:p>
    <w:p w14:paraId="1C99AE98" w14:textId="77777777" w:rsidR="001358AE" w:rsidRDefault="004269B4" w:rsidP="00D73CE8">
      <w:pPr>
        <w:pStyle w:val="PargrafodaLista"/>
        <w:numPr>
          <w:ilvl w:val="0"/>
          <w:numId w:val="7"/>
        </w:numPr>
        <w:spacing w:after="120"/>
        <w:ind w:right="-2"/>
        <w:jc w:val="both"/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Desenvolvimento de kits diagnósticos.</w:t>
      </w:r>
    </w:p>
    <w:p w14:paraId="1C99AE99" w14:textId="77777777" w:rsidR="001358AE" w:rsidRDefault="001358AE">
      <w:pPr>
        <w:spacing w:after="120"/>
        <w:ind w:right="-2"/>
        <w:jc w:val="both"/>
      </w:pPr>
    </w:p>
    <w:p w14:paraId="1C99AE9A" w14:textId="77777777" w:rsidR="001358AE" w:rsidRPr="00D73CE8" w:rsidRDefault="004269B4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/>
          <w:sz w:val="22"/>
          <w:szCs w:val="22"/>
          <w:lang w:val="pt-BR" w:eastAsia="pt-BR"/>
        </w:rPr>
        <w:t xml:space="preserve">Linha Temática 3: </w:t>
      </w: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Infraestrutura Urbana e Mobilidade Sustentável</w:t>
      </w:r>
    </w:p>
    <w:p w14:paraId="1C99AE9B" w14:textId="77777777" w:rsidR="001358AE" w:rsidRPr="00D73CE8" w:rsidRDefault="004269B4" w:rsidP="00D73CE8">
      <w:pPr>
        <w:pStyle w:val="PargrafodaLista"/>
        <w:numPr>
          <w:ilvl w:val="0"/>
          <w:numId w:val="8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Soluções integradas de saneamento, água e resiliência climática urbana e rural;</w:t>
      </w:r>
    </w:p>
    <w:p w14:paraId="1C99AE9C" w14:textId="77777777" w:rsidR="001358AE" w:rsidRDefault="004269B4" w:rsidP="00D73CE8">
      <w:pPr>
        <w:pStyle w:val="PargrafodaLista"/>
        <w:numPr>
          <w:ilvl w:val="0"/>
          <w:numId w:val="8"/>
        </w:numPr>
        <w:spacing w:after="120"/>
        <w:ind w:right="-2"/>
        <w:jc w:val="both"/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Mineração urbana;</w:t>
      </w:r>
    </w:p>
    <w:p w14:paraId="1C99AE9D" w14:textId="77777777" w:rsidR="001358AE" w:rsidRDefault="004269B4" w:rsidP="00D73CE8">
      <w:pPr>
        <w:pStyle w:val="PargrafodaLista"/>
        <w:numPr>
          <w:ilvl w:val="0"/>
          <w:numId w:val="8"/>
        </w:numPr>
        <w:spacing w:after="120"/>
        <w:ind w:right="-2"/>
        <w:jc w:val="both"/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Tecnologias para Infraestrutura Sustentável;</w:t>
      </w:r>
    </w:p>
    <w:p w14:paraId="1C99AE9E" w14:textId="77777777" w:rsidR="001358AE" w:rsidRPr="00D73CE8" w:rsidRDefault="004269B4" w:rsidP="00D73CE8">
      <w:pPr>
        <w:pStyle w:val="PargrafodaLista"/>
        <w:numPr>
          <w:ilvl w:val="0"/>
          <w:numId w:val="8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Tecnologias Avançadas para Construção Civil; e</w:t>
      </w:r>
    </w:p>
    <w:p w14:paraId="1C99AE9F" w14:textId="77777777" w:rsidR="001358AE" w:rsidRPr="00D73CE8" w:rsidRDefault="004269B4" w:rsidP="00D73CE8">
      <w:pPr>
        <w:pStyle w:val="PargrafodaLista"/>
        <w:numPr>
          <w:ilvl w:val="0"/>
          <w:numId w:val="8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Mobilidade de baixa emissão e infraestrutura associada.</w:t>
      </w:r>
    </w:p>
    <w:p w14:paraId="1C99AEA0" w14:textId="77777777" w:rsidR="001358AE" w:rsidRPr="00D73CE8" w:rsidRDefault="001358AE">
      <w:pPr>
        <w:spacing w:after="120"/>
        <w:ind w:right="-2"/>
        <w:jc w:val="both"/>
        <w:rPr>
          <w:lang w:val="pt-BR"/>
        </w:rPr>
      </w:pPr>
    </w:p>
    <w:p w14:paraId="1C99AEA1" w14:textId="77777777" w:rsidR="001358AE" w:rsidRDefault="004269B4">
      <w:pPr>
        <w:spacing w:after="120"/>
        <w:ind w:right="-2"/>
        <w:jc w:val="both"/>
      </w:pPr>
      <w:r>
        <w:rPr>
          <w:rStyle w:val="Tipodeletrapredefinidodopargrafo"/>
          <w:rFonts w:ascii="Tahoma" w:eastAsia="Times New Roman" w:hAnsi="Tahoma" w:cs="Tahoma"/>
          <w:b/>
          <w:sz w:val="22"/>
          <w:szCs w:val="22"/>
          <w:lang w:val="pt-BR" w:eastAsia="pt-BR"/>
        </w:rPr>
        <w:t xml:space="preserve">Linha Temática 4: </w:t>
      </w: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Transformação Digital</w:t>
      </w:r>
    </w:p>
    <w:p w14:paraId="1C99AEA2" w14:textId="77777777" w:rsidR="001358AE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Inteligência artificial de fronteira;</w:t>
      </w:r>
    </w:p>
    <w:p w14:paraId="1C99AEA3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Aplicações críticas de Inteligência Artificial;</w:t>
      </w:r>
    </w:p>
    <w:p w14:paraId="1C99AEA4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Robótica avançada e sistemas autônomos;</w:t>
      </w:r>
    </w:p>
    <w:p w14:paraId="1C99AEA5" w14:textId="77777777" w:rsidR="001358AE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Tecnologias quânticas; e</w:t>
      </w:r>
    </w:p>
    <w:p w14:paraId="1C99AEA6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lang w:val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Plataformas seguras de dados e infraestrutura digital.</w:t>
      </w:r>
    </w:p>
    <w:p w14:paraId="1C99AEA7" w14:textId="77777777" w:rsidR="001358AE" w:rsidRPr="00D73CE8" w:rsidRDefault="001358AE">
      <w:pPr>
        <w:spacing w:after="120"/>
        <w:ind w:right="-2"/>
        <w:jc w:val="both"/>
        <w:rPr>
          <w:lang w:val="pt-BR"/>
        </w:rPr>
      </w:pPr>
    </w:p>
    <w:p w14:paraId="1C99AEA8" w14:textId="77777777" w:rsidR="001358AE" w:rsidRPr="00D73CE8" w:rsidRDefault="004269B4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/>
          <w:sz w:val="22"/>
          <w:szCs w:val="22"/>
          <w:lang w:val="pt-BR" w:eastAsia="pt-BR"/>
        </w:rPr>
        <w:t xml:space="preserve">Linha Temática 5: </w:t>
      </w: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Bioeconomia, descarbonização e transição e segurança energéticas</w:t>
      </w:r>
    </w:p>
    <w:p w14:paraId="1C99AEA9" w14:textId="5C20179B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Tecnologias para geração de energia elétrica renovável em grande escala</w:t>
      </w:r>
    </w:p>
    <w:p w14:paraId="1C99AEAA" w14:textId="1BF632D1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Desenvolvimento de processos de produção de combustíveis sustentáveis:</w:t>
      </w:r>
    </w:p>
    <w:p w14:paraId="1C99AEAB" w14:textId="75836300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Hidrogênio de baixa emissão:</w:t>
      </w:r>
    </w:p>
    <w:p w14:paraId="1C99AEAC" w14:textId="72A4B238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Tecnologias voltadas para a segurança do Sistema Interligado Nacional</w:t>
      </w:r>
    </w:p>
    <w:p w14:paraId="1C99AEAD" w14:textId="5DE6C361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Tecnologias de captura, uso e armazenamento de carbono (CCUS):</w:t>
      </w:r>
    </w:p>
    <w:p w14:paraId="1C99AEAE" w14:textId="18137153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 w:rsidRPr="00D73CE8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Bioeconomia:</w:t>
      </w:r>
    </w:p>
    <w:p w14:paraId="1C99AEAF" w14:textId="77777777" w:rsidR="001358AE" w:rsidRPr="00D73CE8" w:rsidRDefault="001358AE" w:rsidP="00D73CE8">
      <w:pPr>
        <w:pStyle w:val="PargrafodaLista"/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</w:p>
    <w:p w14:paraId="1C99AEB0" w14:textId="77777777" w:rsidR="001358AE" w:rsidRPr="00D73CE8" w:rsidRDefault="004269B4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/>
          <w:sz w:val="22"/>
          <w:szCs w:val="22"/>
          <w:lang w:val="pt-BR" w:eastAsia="pt-BR"/>
        </w:rPr>
        <w:t>Linha Temática 6: Tecnologias de interesse para a soberania e defesa nacionais</w:t>
      </w:r>
    </w:p>
    <w:p w14:paraId="1C99AEB1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Sensoriamento e vigilância avançada;</w:t>
      </w:r>
    </w:p>
    <w:p w14:paraId="1C99AEB2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Sistemas ciberfísicos e de cibersegurança para defesa e infraestruturas críticas;</w:t>
      </w:r>
    </w:p>
    <w:p w14:paraId="1C99AEB3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Plataformas de comando e controle;</w:t>
      </w:r>
    </w:p>
    <w:p w14:paraId="1C99AEB4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Tecnologias estratégicas de materiais em aplicações de defesa (materiais de propulsão e guiagem, materiais refratários, manufatura aditiva, proteção balística, fibra de carbono e fibra de lignina);</w:t>
      </w:r>
    </w:p>
    <w:p w14:paraId="1C99AEB5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Defesa BNQR;</w:t>
      </w:r>
    </w:p>
    <w:p w14:paraId="1C99AEB6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Setor Nuclear;</w:t>
      </w:r>
    </w:p>
    <w:p w14:paraId="1C99AEB7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Tecnologias de energia dirigida; e</w:t>
      </w:r>
    </w:p>
    <w:p w14:paraId="1C99AEB8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Sistemas aeroespaciais.</w:t>
      </w:r>
    </w:p>
    <w:p w14:paraId="1C99AEBC" w14:textId="77777777" w:rsidR="001358AE" w:rsidRDefault="004269B4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lastRenderedPageBreak/>
        <w:t>O que pode ser financiado?</w:t>
      </w:r>
    </w:p>
    <w:p w14:paraId="1C99AEBD" w14:textId="77777777" w:rsidR="001358AE" w:rsidRPr="00D73CE8" w:rsidRDefault="004269B4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Podem ser financiados itens nas seguintes rubricas:</w:t>
      </w:r>
    </w:p>
    <w:p w14:paraId="1C99AEBE" w14:textId="6EC55093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Diárias </w:t>
      </w:r>
    </w:p>
    <w:p w14:paraId="1C99AEBF" w14:textId="4CF5344B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Passagens e Despesa de Locomoção</w:t>
      </w:r>
    </w:p>
    <w:p w14:paraId="1C99AEC0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Material de consumo nacional ou importado</w:t>
      </w:r>
    </w:p>
    <w:p w14:paraId="1C99AEC1" w14:textId="3EE6A5BD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Serviços de Terceiros</w:t>
      </w:r>
    </w:p>
    <w:p w14:paraId="1C99AEC2" w14:textId="173DBEA2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Bolsas</w:t>
      </w:r>
    </w:p>
    <w:p w14:paraId="1C99AEC3" w14:textId="5E7E6D41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Pagamento de pessoal </w:t>
      </w:r>
    </w:p>
    <w:p w14:paraId="1C99AEC4" w14:textId="6F8838F4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Equipamentos e materiais permanentes</w:t>
      </w:r>
    </w:p>
    <w:p w14:paraId="1C99AEC5" w14:textId="5EADFAB6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Aquisição de equipamentos de valor inferior a R$ 200.000,00</w:t>
      </w:r>
    </w:p>
    <w:p w14:paraId="1C99AEC6" w14:textId="590FF539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Pequenas adaptações de instalação e adequações da infraestrutura física, obras ou serviços de engenharia de pequeno porte, isolados e sem complexidade técnica de gerenciamento e execução no valor máximo de R$ 376.353,48</w:t>
      </w:r>
    </w:p>
    <w:p w14:paraId="20F92895" w14:textId="77777777" w:rsidR="00D73CE8" w:rsidRDefault="00D73CE8">
      <w:pPr>
        <w:pStyle w:val="Standard"/>
        <w:keepNext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</w:p>
    <w:p w14:paraId="1C99AEC9" w14:textId="543F71AF" w:rsidR="001358AE" w:rsidRDefault="004269B4">
      <w:pPr>
        <w:pStyle w:val="Standard"/>
        <w:keepNext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O que NÃO pode ser financiado?</w:t>
      </w:r>
    </w:p>
    <w:p w14:paraId="1C99AECA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Obras complexas;</w:t>
      </w:r>
    </w:p>
    <w:p w14:paraId="1C99AECB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Complementação de obras e/ou obras inacabadas cujos recursos para sua execução tenham sido concedidos na íntegra em convênios anteriormente celebrados com a Finep.</w:t>
      </w:r>
    </w:p>
    <w:p w14:paraId="1C99AECC" w14:textId="77777777" w:rsidR="001358AE" w:rsidRPr="00D73CE8" w:rsidRDefault="001358AE">
      <w:pPr>
        <w:spacing w:after="120"/>
        <w:ind w:right="-2"/>
        <w:jc w:val="both"/>
        <w:rPr>
          <w:lang w:val="pt-BR"/>
        </w:rPr>
      </w:pPr>
    </w:p>
    <w:p w14:paraId="1C99AECD" w14:textId="77777777" w:rsidR="001358AE" w:rsidRDefault="004269B4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Valores e Prazo de Execução:</w:t>
      </w:r>
    </w:p>
    <w:p w14:paraId="1C99AECE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Valor mínimo por proposta: R$ 3 milhão;</w:t>
      </w:r>
    </w:p>
    <w:p w14:paraId="1C99AECF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Valor máximo por proposta: R$ 10 milhões; e</w:t>
      </w:r>
    </w:p>
    <w:p w14:paraId="1C99AED0" w14:textId="77777777" w:rsidR="001358AE" w:rsidRPr="00D73CE8" w:rsidRDefault="004269B4" w:rsidP="00D73CE8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Prazo de execução: até 36 meses.</w:t>
      </w:r>
    </w:p>
    <w:p w14:paraId="1C99AED1" w14:textId="77777777" w:rsidR="001358AE" w:rsidRPr="00D73CE8" w:rsidRDefault="001358AE">
      <w:pPr>
        <w:spacing w:after="120"/>
        <w:ind w:right="-2"/>
        <w:jc w:val="both"/>
        <w:rPr>
          <w:lang w:val="pt-BR"/>
        </w:rPr>
      </w:pPr>
    </w:p>
    <w:p w14:paraId="1C99AED2" w14:textId="77777777" w:rsidR="001358AE" w:rsidRDefault="004269B4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Como será a avaliação?</w:t>
      </w:r>
    </w:p>
    <w:p w14:paraId="1C99AED3" w14:textId="77777777" w:rsidR="001358AE" w:rsidRPr="00D73CE8" w:rsidRDefault="004269B4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A avaliação será feita em duas etapas:</w:t>
      </w:r>
    </w:p>
    <w:p w14:paraId="1C99AED4" w14:textId="77777777" w:rsidR="001358AE" w:rsidRPr="00D73CE8" w:rsidRDefault="004269B4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1) Habilitação: verificação documental e de enquadramento</w:t>
      </w:r>
    </w:p>
    <w:p w14:paraId="1C99AED5" w14:textId="77777777" w:rsidR="001358AE" w:rsidRDefault="004269B4">
      <w:p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2) Mérito: análise técnica, considerando os critérios:</w:t>
      </w:r>
    </w:p>
    <w:p w14:paraId="17D50604" w14:textId="77777777" w:rsidR="00926514" w:rsidRPr="00926514" w:rsidRDefault="00926514" w:rsidP="00926514">
      <w:pPr>
        <w:pStyle w:val="PargrafodaLista"/>
        <w:keepLines/>
        <w:numPr>
          <w:ilvl w:val="0"/>
          <w:numId w:val="13"/>
        </w:num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</w:pPr>
      <w:r w:rsidRPr="00926514"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  <w:t>1 – Aderência da proposta aos objetivos da chamada e à linha de apoio</w:t>
      </w:r>
    </w:p>
    <w:p w14:paraId="4701BA02" w14:textId="77777777" w:rsidR="00926514" w:rsidRPr="00926514" w:rsidRDefault="00926514" w:rsidP="00926514">
      <w:pPr>
        <w:pStyle w:val="PargrafodaLista"/>
        <w:keepLines/>
        <w:numPr>
          <w:ilvl w:val="0"/>
          <w:numId w:val="13"/>
        </w:num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</w:pPr>
      <w:r w:rsidRPr="00926514"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  <w:t>2 – Resultados, impactos e externalidades esperados</w:t>
      </w:r>
    </w:p>
    <w:p w14:paraId="1313D189" w14:textId="201DACB1" w:rsidR="00926514" w:rsidRPr="00926514" w:rsidRDefault="00926514" w:rsidP="00926514">
      <w:pPr>
        <w:pStyle w:val="PargrafodaLista"/>
        <w:keepLines/>
        <w:numPr>
          <w:ilvl w:val="0"/>
          <w:numId w:val="13"/>
        </w:num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</w:pPr>
      <w:r w:rsidRPr="00926514"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  <w:t>3 – Equipe</w:t>
      </w:r>
    </w:p>
    <w:p w14:paraId="2D76B448" w14:textId="77777777" w:rsidR="00926514" w:rsidRPr="00926514" w:rsidRDefault="00926514" w:rsidP="00926514">
      <w:pPr>
        <w:pStyle w:val="PargrafodaLista"/>
        <w:keepLines/>
        <w:numPr>
          <w:ilvl w:val="0"/>
          <w:numId w:val="13"/>
        </w:num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</w:pPr>
      <w:r w:rsidRPr="00926514"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  <w:t>4 – Adequação da metodologia de desenvolvimento do projeto, considerando os riscos tecnológicos e as medidas de mitigação</w:t>
      </w:r>
    </w:p>
    <w:p w14:paraId="4130F3C8" w14:textId="77777777" w:rsidR="00926514" w:rsidRPr="00926514" w:rsidRDefault="00926514" w:rsidP="00926514">
      <w:pPr>
        <w:pStyle w:val="PargrafodaLista"/>
        <w:keepLines/>
        <w:numPr>
          <w:ilvl w:val="0"/>
          <w:numId w:val="13"/>
        </w:num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</w:pPr>
      <w:r w:rsidRPr="00926514"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  <w:t>5 – Adequação da infraestrutura já existente e proposta para o desenvolvimento do projeto, bem como o seu caráter multiusuário</w:t>
      </w:r>
    </w:p>
    <w:p w14:paraId="13000AA0" w14:textId="77777777" w:rsidR="00926514" w:rsidRPr="00926514" w:rsidRDefault="00926514" w:rsidP="00926514">
      <w:pPr>
        <w:pStyle w:val="PargrafodaLista"/>
        <w:keepLines/>
        <w:numPr>
          <w:ilvl w:val="0"/>
          <w:numId w:val="13"/>
        </w:num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</w:pPr>
      <w:r w:rsidRPr="00926514"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  <w:t xml:space="preserve">6- Parcerias estratégicas estabelecidas com outras </w:t>
      </w:r>
      <w:proofErr w:type="spellStart"/>
      <w:r w:rsidRPr="00926514"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  <w:t>ICTs</w:t>
      </w:r>
      <w:proofErr w:type="spellEnd"/>
      <w:r w:rsidRPr="00926514"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  <w:t xml:space="preserve"> e/ou empresas</w:t>
      </w:r>
    </w:p>
    <w:p w14:paraId="56AA2DD4" w14:textId="77777777" w:rsidR="00926514" w:rsidRPr="00926514" w:rsidRDefault="00926514" w:rsidP="00926514">
      <w:pPr>
        <w:pStyle w:val="PargrafodaLista"/>
        <w:keepLines/>
        <w:numPr>
          <w:ilvl w:val="0"/>
          <w:numId w:val="13"/>
        </w:num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</w:pPr>
      <w:r w:rsidRPr="00926514"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  <w:t>7 – Consistência e adequação da proposta</w:t>
      </w:r>
    </w:p>
    <w:p w14:paraId="372DADDB" w14:textId="6E738B37" w:rsidR="00926514" w:rsidRPr="00926514" w:rsidRDefault="00926514" w:rsidP="00926514">
      <w:pPr>
        <w:pStyle w:val="PargrafodaLista"/>
        <w:keepLines/>
        <w:numPr>
          <w:ilvl w:val="0"/>
          <w:numId w:val="13"/>
        </w:numPr>
        <w:spacing w:line="360" w:lineRule="auto"/>
        <w:jc w:val="both"/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</w:pPr>
      <w:r w:rsidRPr="00926514">
        <w:rPr>
          <w:rFonts w:ascii="Tahoma" w:eastAsia="Times New Roman" w:hAnsi="Tahoma" w:cs="Tahoma"/>
          <w:color w:val="000000"/>
          <w:sz w:val="22"/>
          <w:szCs w:val="22"/>
          <w:lang w:val="pt-BR" w:eastAsia="pt-BR"/>
        </w:rPr>
        <w:lastRenderedPageBreak/>
        <w:t>8 – Indicador de Desempenho de Prazos (IDP)</w:t>
      </w:r>
    </w:p>
    <w:p w14:paraId="1C99AEF2" w14:textId="77777777" w:rsidR="001358AE" w:rsidRPr="00D73CE8" w:rsidRDefault="001358AE">
      <w:pPr>
        <w:spacing w:after="120"/>
        <w:ind w:right="-2"/>
        <w:jc w:val="both"/>
        <w:rPr>
          <w:lang w:val="pt-BR"/>
        </w:rPr>
      </w:pPr>
    </w:p>
    <w:p w14:paraId="1C99AEF3" w14:textId="77777777" w:rsidR="001358AE" w:rsidRPr="00D73CE8" w:rsidRDefault="004269B4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Propostas que obtiverem nota média inferior a 3,5 ou nota 1,0 nos critérios de 1 a 7 serão eliminadas.</w:t>
      </w:r>
    </w:p>
    <w:p w14:paraId="1C99AEF4" w14:textId="77777777" w:rsidR="001358AE" w:rsidRPr="00D73CE8" w:rsidRDefault="001358AE">
      <w:pPr>
        <w:spacing w:after="120"/>
        <w:ind w:right="-2"/>
        <w:jc w:val="both"/>
        <w:rPr>
          <w:lang w:val="pt-BR"/>
        </w:rPr>
      </w:pPr>
    </w:p>
    <w:p w14:paraId="1C99AEF5" w14:textId="77777777" w:rsidR="001358AE" w:rsidRDefault="004269B4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Recursos da Chamada</w:t>
      </w:r>
    </w:p>
    <w:p w14:paraId="1C99AEF6" w14:textId="77777777" w:rsidR="001358AE" w:rsidRPr="00D73CE8" w:rsidRDefault="004269B4">
      <w:p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No total estão disponíveis R$ 500 milhões, sendo que a Linha Temática 3: Infraestrutura Urbana e Mobilidade Sustentável terá R$ 100 milhões e as demais R$ 80 milhões.</w:t>
      </w:r>
    </w:p>
    <w:p w14:paraId="1C99AEF7" w14:textId="77777777" w:rsidR="001358AE" w:rsidRPr="00D73CE8" w:rsidRDefault="001358AE">
      <w:pPr>
        <w:spacing w:after="120"/>
        <w:ind w:right="-2"/>
        <w:jc w:val="both"/>
        <w:rPr>
          <w:lang w:val="pt-BR"/>
        </w:rPr>
      </w:pPr>
    </w:p>
    <w:p w14:paraId="1C99AEF8" w14:textId="77777777" w:rsidR="001358AE" w:rsidRDefault="004269B4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Contrapartida</w:t>
      </w:r>
    </w:p>
    <w:p w14:paraId="1C99AEF9" w14:textId="1E1735A9" w:rsidR="001358AE" w:rsidRPr="00926514" w:rsidRDefault="004269B4" w:rsidP="00926514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Exigida de instituições estaduais, municipais e do DF, que atuem como</w:t>
      </w:r>
      <w:r w:rsidR="00926514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 p</w:t>
      </w: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roponente conforme LDO 2025; e</w:t>
      </w:r>
    </w:p>
    <w:p w14:paraId="1C99AEFA" w14:textId="50F24D55" w:rsidR="001358AE" w:rsidRPr="00926514" w:rsidRDefault="004269B4" w:rsidP="00926514">
      <w:pPr>
        <w:pStyle w:val="PargrafodaLista"/>
        <w:numPr>
          <w:ilvl w:val="0"/>
          <w:numId w:val="9"/>
        </w:num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Fundações de Apoio e </w:t>
      </w:r>
      <w:proofErr w:type="spellStart"/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ICTs</w:t>
      </w:r>
      <w:proofErr w:type="spellEnd"/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 Privadas como </w:t>
      </w:r>
      <w:r w:rsidR="00926514"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p</w:t>
      </w: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roponente são isentas.</w:t>
      </w:r>
    </w:p>
    <w:p w14:paraId="1C99AEFB" w14:textId="77777777" w:rsidR="001358AE" w:rsidRPr="00D73CE8" w:rsidRDefault="001358AE">
      <w:pPr>
        <w:spacing w:after="120"/>
        <w:ind w:right="-2"/>
        <w:jc w:val="both"/>
        <w:rPr>
          <w:lang w:val="pt-BR"/>
        </w:rPr>
      </w:pPr>
    </w:p>
    <w:p w14:paraId="1C99AEFC" w14:textId="77777777" w:rsidR="001358AE" w:rsidRDefault="004269B4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Como participar?</w:t>
      </w:r>
    </w:p>
    <w:p w14:paraId="1C99AEFD" w14:textId="77777777" w:rsidR="001358AE" w:rsidRPr="00D73CE8" w:rsidRDefault="004269B4">
      <w:pPr>
        <w:pStyle w:val="PargrafodaLista"/>
        <w:numPr>
          <w:ilvl w:val="0"/>
          <w:numId w:val="4"/>
        </w:num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Faça e leitura completa do Edital;</w:t>
      </w:r>
    </w:p>
    <w:p w14:paraId="1C99AEFE" w14:textId="77777777" w:rsidR="001358AE" w:rsidRPr="00D73CE8" w:rsidRDefault="004269B4">
      <w:pPr>
        <w:pStyle w:val="PargrafodaLista"/>
        <w:numPr>
          <w:ilvl w:val="0"/>
          <w:numId w:val="4"/>
        </w:num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Acesse </w:t>
      </w:r>
      <w:hyperlink r:id="rId10" w:history="1">
        <w:r>
          <w:rPr>
            <w:rStyle w:val="Hyperlink"/>
            <w:rFonts w:ascii="Tahoma" w:eastAsia="Times New Roman" w:hAnsi="Tahoma" w:cs="Tahoma"/>
            <w:bCs/>
            <w:sz w:val="22"/>
            <w:szCs w:val="22"/>
            <w:lang w:val="pt-BR" w:eastAsia="pt-BR"/>
          </w:rPr>
          <w:t>https://financiamento.finep.gov.br</w:t>
        </w:r>
      </w:hyperlink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 e cadastre a instituição;</w:t>
      </w:r>
    </w:p>
    <w:p w14:paraId="1C99AEFF" w14:textId="77777777" w:rsidR="001358AE" w:rsidRPr="00D73CE8" w:rsidRDefault="004269B4">
      <w:pPr>
        <w:pStyle w:val="PargrafodaLista"/>
        <w:numPr>
          <w:ilvl w:val="0"/>
          <w:numId w:val="4"/>
        </w:numPr>
        <w:spacing w:after="120"/>
        <w:ind w:right="-2"/>
        <w:jc w:val="both"/>
        <w:rPr>
          <w:lang w:val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Submeta a proposta na Plataforma de Apoio e Financiamento, observando toda documentação necessária; e</w:t>
      </w:r>
    </w:p>
    <w:p w14:paraId="1C99AF00" w14:textId="77777777" w:rsidR="001358AE" w:rsidRDefault="004269B4">
      <w:pPr>
        <w:pStyle w:val="PargrafodaLista"/>
        <w:numPr>
          <w:ilvl w:val="0"/>
          <w:numId w:val="4"/>
        </w:numPr>
        <w:spacing w:after="120"/>
        <w:ind w:right="-2"/>
        <w:jc w:val="both"/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Observe cronograma oficial.</w:t>
      </w:r>
    </w:p>
    <w:p w14:paraId="1C99AF01" w14:textId="77777777" w:rsidR="001358AE" w:rsidRDefault="001358AE">
      <w:pPr>
        <w:spacing w:after="120"/>
        <w:ind w:right="-2"/>
        <w:jc w:val="both"/>
      </w:pPr>
    </w:p>
    <w:p w14:paraId="1C99AF02" w14:textId="77777777" w:rsidR="001358AE" w:rsidRDefault="004269B4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Dúvidas?</w:t>
      </w:r>
    </w:p>
    <w:p w14:paraId="1C99AF03" w14:textId="77777777" w:rsidR="001358AE" w:rsidRDefault="004269B4">
      <w:p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 xml:space="preserve">Entre em contato pelo e-mail: </w:t>
      </w:r>
      <w:hyperlink r:id="rId11" w:history="1">
        <w:r>
          <w:rPr>
            <w:rStyle w:val="Hyperlink"/>
            <w:rFonts w:ascii="Tahoma" w:eastAsia="Times New Roman" w:hAnsi="Tahoma" w:cs="Tahoma"/>
            <w:bCs/>
            <w:sz w:val="22"/>
            <w:szCs w:val="22"/>
            <w:lang w:val="pt-BR" w:eastAsia="pt-BR"/>
          </w:rPr>
          <w:t>cp_centrostematicos2025@finep.gov.br</w:t>
        </w:r>
      </w:hyperlink>
      <w:r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  <w:t>.</w:t>
      </w:r>
    </w:p>
    <w:p w14:paraId="50687316" w14:textId="77777777" w:rsidR="00926514" w:rsidRDefault="00926514">
      <w:pPr>
        <w:spacing w:after="120"/>
        <w:ind w:right="-2"/>
        <w:jc w:val="both"/>
        <w:rPr>
          <w:rStyle w:val="Tipodeletrapredefinidodopargrafo"/>
          <w:rFonts w:ascii="Tahoma" w:eastAsia="Times New Roman" w:hAnsi="Tahoma" w:cs="Tahoma"/>
          <w:bCs/>
          <w:sz w:val="22"/>
          <w:szCs w:val="22"/>
          <w:lang w:val="pt-BR" w:eastAsia="pt-BR"/>
        </w:rPr>
      </w:pPr>
    </w:p>
    <w:p w14:paraId="45F40B71" w14:textId="77777777" w:rsidR="00926514" w:rsidRPr="00926514" w:rsidRDefault="00926514" w:rsidP="00926514">
      <w:pPr>
        <w:pStyle w:val="Standard"/>
        <w:spacing w:line="360" w:lineRule="auto"/>
        <w:ind w:right="397"/>
        <w:rPr>
          <w:rFonts w:ascii="Tahoma" w:hAnsi="Tahoma" w:cs="Tahoma"/>
          <w:b/>
          <w:color w:val="000000"/>
          <w:u w:val="single"/>
        </w:rPr>
      </w:pPr>
      <w:r w:rsidRPr="00926514">
        <w:rPr>
          <w:rFonts w:ascii="Tahoma" w:hAnsi="Tahoma" w:cs="Tahoma"/>
          <w:b/>
          <w:color w:val="000000"/>
          <w:u w:val="single"/>
        </w:rPr>
        <w:t>Tutoriais:</w:t>
      </w:r>
    </w:p>
    <w:p w14:paraId="3E67C7BE" w14:textId="77777777" w:rsidR="00926514" w:rsidRPr="00926514" w:rsidRDefault="00926514" w:rsidP="00926514">
      <w:pPr>
        <w:spacing w:after="120"/>
        <w:ind w:right="-2"/>
        <w:jc w:val="both"/>
        <w:rPr>
          <w:rFonts w:ascii="Tahoma" w:hAnsi="Tahoma" w:cs="Tahoma"/>
          <w:sz w:val="22"/>
          <w:szCs w:val="22"/>
          <w:lang w:val="pt-BR"/>
        </w:rPr>
      </w:pPr>
      <w:r w:rsidRPr="00926514">
        <w:rPr>
          <w:rFonts w:ascii="Tahoma" w:hAnsi="Tahoma" w:cs="Tahoma"/>
          <w:bCs/>
          <w:sz w:val="22"/>
          <w:szCs w:val="22"/>
          <w:lang w:val="pt-BR"/>
        </w:rPr>
        <w:t xml:space="preserve">Todos os tutoriais para o uso da plataforma estão disponíveis em </w:t>
      </w:r>
      <w:hyperlink r:id="rId12" w:history="1">
        <w:r w:rsidRPr="00926514">
          <w:rPr>
            <w:rStyle w:val="Hyperlink"/>
            <w:rFonts w:ascii="Tahoma" w:hAnsi="Tahoma" w:cs="Tahoma"/>
            <w:bCs/>
            <w:sz w:val="22"/>
            <w:szCs w:val="22"/>
            <w:lang w:val="pt-BR"/>
          </w:rPr>
          <w:t>http://www.finep.gov.br/area-para-clientes-externo/financiamento-nao-reembolsavel</w:t>
        </w:r>
      </w:hyperlink>
      <w:r w:rsidRPr="00926514">
        <w:rPr>
          <w:rFonts w:ascii="Tahoma" w:hAnsi="Tahoma" w:cs="Tahoma"/>
          <w:bCs/>
          <w:sz w:val="22"/>
          <w:szCs w:val="22"/>
          <w:lang w:val="pt-BR"/>
        </w:rPr>
        <w:t xml:space="preserve">. Os </w:t>
      </w:r>
      <w:r w:rsidRPr="00926514">
        <w:rPr>
          <w:rFonts w:ascii="Tahoma" w:hAnsi="Tahoma" w:cs="Tahoma"/>
          <w:bCs/>
          <w:i/>
          <w:iCs/>
          <w:sz w:val="22"/>
          <w:szCs w:val="22"/>
          <w:lang w:val="pt-BR"/>
        </w:rPr>
        <w:t>links</w:t>
      </w:r>
      <w:r w:rsidRPr="00926514">
        <w:rPr>
          <w:rFonts w:ascii="Tahoma" w:hAnsi="Tahoma" w:cs="Tahoma"/>
          <w:bCs/>
          <w:sz w:val="22"/>
          <w:szCs w:val="22"/>
          <w:lang w:val="pt-BR"/>
        </w:rPr>
        <w:t xml:space="preserve"> mais relevantes para cadastro e envio de propostas estão disponíveis na página do edital.</w:t>
      </w:r>
    </w:p>
    <w:p w14:paraId="2E6687C3" w14:textId="77777777" w:rsidR="00926514" w:rsidRPr="00926514" w:rsidRDefault="00926514" w:rsidP="00926514">
      <w:pPr>
        <w:spacing w:after="120"/>
        <w:ind w:right="-2"/>
        <w:jc w:val="both"/>
        <w:rPr>
          <w:rFonts w:ascii="Tahoma" w:hAnsi="Tahoma" w:cs="Tahoma"/>
          <w:sz w:val="22"/>
          <w:szCs w:val="22"/>
        </w:rPr>
      </w:pPr>
      <w:r w:rsidRPr="00926514">
        <w:rPr>
          <w:rFonts w:ascii="Tahoma" w:hAnsi="Tahoma" w:cs="Tahoma"/>
          <w:bCs/>
          <w:sz w:val="22"/>
          <w:szCs w:val="22"/>
          <w:lang w:val="pt-BR"/>
        </w:rPr>
        <w:t xml:space="preserve">Preenchimento do </w:t>
      </w:r>
      <w:r w:rsidRPr="00926514">
        <w:rPr>
          <w:rFonts w:ascii="Tahoma" w:hAnsi="Tahoma" w:cs="Tahoma"/>
          <w:bCs/>
          <w:sz w:val="22"/>
          <w:szCs w:val="22"/>
          <w:u w:val="single"/>
          <w:lang w:val="pt-BR"/>
        </w:rPr>
        <w:t>cadastro</w:t>
      </w:r>
      <w:r w:rsidRPr="00926514">
        <w:rPr>
          <w:rFonts w:ascii="Tahoma" w:hAnsi="Tahoma" w:cs="Tahoma"/>
          <w:bCs/>
          <w:sz w:val="22"/>
          <w:szCs w:val="22"/>
          <w:lang w:val="pt-BR"/>
        </w:rPr>
        <w:t>:</w:t>
      </w:r>
    </w:p>
    <w:p w14:paraId="2E72FF1C" w14:textId="77777777" w:rsidR="00926514" w:rsidRPr="00926514" w:rsidRDefault="00926514" w:rsidP="00926514">
      <w:pPr>
        <w:numPr>
          <w:ilvl w:val="0"/>
          <w:numId w:val="12"/>
        </w:numPr>
        <w:spacing w:after="120"/>
        <w:ind w:right="-2"/>
        <w:jc w:val="both"/>
        <w:rPr>
          <w:rFonts w:ascii="Tahoma" w:hAnsi="Tahoma" w:cs="Tahoma"/>
          <w:sz w:val="22"/>
          <w:szCs w:val="22"/>
          <w:lang w:val="pt-BR"/>
        </w:rPr>
      </w:pPr>
      <w:hyperlink r:id="rId13" w:history="1">
        <w:r w:rsidRPr="00926514">
          <w:rPr>
            <w:rStyle w:val="Hyperlink"/>
            <w:rFonts w:ascii="Tahoma" w:hAnsi="Tahoma" w:cs="Tahoma"/>
            <w:bCs/>
            <w:sz w:val="22"/>
            <w:szCs w:val="22"/>
            <w:lang w:val="pt-BR"/>
          </w:rPr>
          <w:t>https://download.finep.gov.br/Tutorial_Cadastro_Nao_Reembolsavel_SISGON.pdf</w:t>
        </w:r>
      </w:hyperlink>
      <w:r w:rsidRPr="00926514">
        <w:rPr>
          <w:rFonts w:ascii="Tahoma" w:hAnsi="Tahoma" w:cs="Tahoma"/>
          <w:bCs/>
          <w:sz w:val="22"/>
          <w:szCs w:val="22"/>
          <w:lang w:val="pt-BR"/>
        </w:rPr>
        <w:t xml:space="preserve"> (tutorial/PDF)</w:t>
      </w:r>
    </w:p>
    <w:p w14:paraId="0CB1A2A7" w14:textId="77777777" w:rsidR="00926514" w:rsidRPr="00926514" w:rsidRDefault="00926514" w:rsidP="00926514">
      <w:pPr>
        <w:spacing w:after="120"/>
        <w:ind w:right="-2"/>
        <w:jc w:val="both"/>
        <w:rPr>
          <w:rFonts w:ascii="Tahoma" w:hAnsi="Tahoma" w:cs="Tahoma"/>
          <w:sz w:val="22"/>
          <w:szCs w:val="22"/>
        </w:rPr>
      </w:pPr>
      <w:r w:rsidRPr="00926514">
        <w:rPr>
          <w:rFonts w:ascii="Tahoma" w:hAnsi="Tahoma" w:cs="Tahoma"/>
          <w:bCs/>
          <w:sz w:val="22"/>
          <w:szCs w:val="22"/>
          <w:lang w:val="pt-BR"/>
        </w:rPr>
        <w:t xml:space="preserve">Preenchimento da </w:t>
      </w:r>
      <w:r w:rsidRPr="00926514">
        <w:rPr>
          <w:rFonts w:ascii="Tahoma" w:hAnsi="Tahoma" w:cs="Tahoma"/>
          <w:bCs/>
          <w:sz w:val="22"/>
          <w:szCs w:val="22"/>
          <w:u w:val="single"/>
          <w:lang w:val="pt-BR"/>
        </w:rPr>
        <w:t>proposta</w:t>
      </w:r>
      <w:r w:rsidRPr="00926514">
        <w:rPr>
          <w:rFonts w:ascii="Tahoma" w:hAnsi="Tahoma" w:cs="Tahoma"/>
          <w:bCs/>
          <w:sz w:val="22"/>
          <w:szCs w:val="22"/>
          <w:lang w:val="pt-BR"/>
        </w:rPr>
        <w:t>:</w:t>
      </w:r>
    </w:p>
    <w:p w14:paraId="15B98D1A" w14:textId="77777777" w:rsidR="00926514" w:rsidRPr="00926514" w:rsidRDefault="00926514" w:rsidP="00926514">
      <w:pPr>
        <w:numPr>
          <w:ilvl w:val="0"/>
          <w:numId w:val="12"/>
        </w:numPr>
        <w:spacing w:after="120"/>
        <w:ind w:right="-2"/>
        <w:jc w:val="both"/>
        <w:rPr>
          <w:rFonts w:ascii="Tahoma" w:hAnsi="Tahoma" w:cs="Tahoma"/>
          <w:sz w:val="22"/>
          <w:szCs w:val="22"/>
          <w:lang w:val="pt-BR"/>
        </w:rPr>
      </w:pPr>
      <w:hyperlink r:id="rId14" w:history="1">
        <w:r w:rsidRPr="00926514">
          <w:rPr>
            <w:rStyle w:val="Hyperlink"/>
            <w:rFonts w:ascii="Tahoma" w:hAnsi="Tahoma" w:cs="Tahoma"/>
            <w:bCs/>
            <w:sz w:val="22"/>
            <w:szCs w:val="22"/>
            <w:lang w:val="pt-BR"/>
          </w:rPr>
          <w:t>https://download.finep.gov.br/Tutorial_Preenchimento_Propostas_Nao_Reembolsavel_SISGON.pdf</w:t>
        </w:r>
      </w:hyperlink>
      <w:r w:rsidRPr="00926514">
        <w:rPr>
          <w:rFonts w:ascii="Tahoma" w:hAnsi="Tahoma" w:cs="Tahoma"/>
          <w:bCs/>
          <w:sz w:val="22"/>
          <w:szCs w:val="22"/>
          <w:lang w:val="pt-BR"/>
        </w:rPr>
        <w:t xml:space="preserve"> (Tutorial / PDF)</w:t>
      </w:r>
    </w:p>
    <w:p w14:paraId="0A66ED46" w14:textId="77777777" w:rsidR="00926514" w:rsidRPr="00926514" w:rsidRDefault="00926514" w:rsidP="00926514">
      <w:pPr>
        <w:numPr>
          <w:ilvl w:val="0"/>
          <w:numId w:val="12"/>
        </w:numPr>
        <w:spacing w:after="120"/>
        <w:ind w:right="-2"/>
        <w:jc w:val="both"/>
        <w:rPr>
          <w:rFonts w:ascii="Tahoma" w:hAnsi="Tahoma" w:cs="Tahoma"/>
          <w:sz w:val="22"/>
          <w:szCs w:val="22"/>
          <w:lang w:val="pt-BR"/>
        </w:rPr>
      </w:pPr>
      <w:hyperlink r:id="rId15" w:history="1">
        <w:r w:rsidRPr="00926514">
          <w:rPr>
            <w:rStyle w:val="Hyperlink"/>
            <w:rFonts w:ascii="Tahoma" w:hAnsi="Tahoma" w:cs="Tahoma"/>
            <w:bCs/>
            <w:sz w:val="22"/>
            <w:szCs w:val="22"/>
            <w:lang w:val="pt-BR"/>
          </w:rPr>
          <w:t>https://www.youtube.com/watch?v=ZUA2VSOMuG4</w:t>
        </w:r>
      </w:hyperlink>
      <w:r w:rsidRPr="00926514">
        <w:rPr>
          <w:rFonts w:ascii="Tahoma" w:hAnsi="Tahoma" w:cs="Tahoma"/>
          <w:bCs/>
          <w:sz w:val="22"/>
          <w:szCs w:val="22"/>
          <w:lang w:val="pt-BR"/>
        </w:rPr>
        <w:t xml:space="preserve"> (Vídeo / YouTube)</w:t>
      </w:r>
    </w:p>
    <w:p w14:paraId="601B6870" w14:textId="77777777" w:rsidR="00926514" w:rsidRPr="00D73CE8" w:rsidRDefault="00926514">
      <w:pPr>
        <w:spacing w:after="120"/>
        <w:ind w:right="-2"/>
        <w:jc w:val="both"/>
        <w:rPr>
          <w:lang w:val="pt-BR"/>
        </w:rPr>
      </w:pPr>
    </w:p>
    <w:sectPr w:rsidR="00926514" w:rsidRPr="00D73CE8">
      <w:headerReference w:type="default" r:id="rId16"/>
      <w:footerReference w:type="default" r:id="rId17"/>
      <w:pgSz w:w="11900" w:h="16840"/>
      <w:pgMar w:top="2268" w:right="1247" w:bottom="1440" w:left="1418" w:header="709" w:footer="1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EF57" w14:textId="77777777" w:rsidR="009A6B8A" w:rsidRDefault="009A6B8A">
      <w:r>
        <w:separator/>
      </w:r>
    </w:p>
  </w:endnote>
  <w:endnote w:type="continuationSeparator" w:id="0">
    <w:p w14:paraId="0E530517" w14:textId="77777777" w:rsidR="009A6B8A" w:rsidRDefault="009A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AE81" w14:textId="77777777" w:rsidR="004269B4" w:rsidRDefault="004269B4">
    <w:pPr>
      <w:pStyle w:val="Rodap"/>
      <w:tabs>
        <w:tab w:val="clear" w:pos="4320"/>
        <w:tab w:val="clear" w:pos="8640"/>
        <w:tab w:val="left" w:pos="5232"/>
      </w:tabs>
      <w:jc w:val="right"/>
    </w:pPr>
    <w:r>
      <w:rPr>
        <w:lang w:val="pt-BR"/>
      </w:rPr>
      <w:fldChar w:fldCharType="begin"/>
    </w:r>
    <w:r>
      <w:rPr>
        <w:lang w:val="pt-BR"/>
      </w:rPr>
      <w:instrText xml:space="preserve"> PAGE </w:instrText>
    </w:r>
    <w:r>
      <w:rPr>
        <w:lang w:val="pt-BR"/>
      </w:rPr>
      <w:fldChar w:fldCharType="separate"/>
    </w:r>
    <w:r>
      <w:rPr>
        <w:lang w:val="pt-BR"/>
      </w:rPr>
      <w:t>1</w:t>
    </w:r>
    <w:r>
      <w:rPr>
        <w:lang w:val="pt-BR"/>
      </w:rPr>
      <w:fldChar w:fldCharType="end"/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9AE78" wp14:editId="1C99AE79">
              <wp:simplePos x="0" y="0"/>
              <wp:positionH relativeFrom="column">
                <wp:posOffset>-705487</wp:posOffset>
              </wp:positionH>
              <wp:positionV relativeFrom="paragraph">
                <wp:posOffset>446090</wp:posOffset>
              </wp:positionV>
              <wp:extent cx="3761741" cy="737235"/>
              <wp:effectExtent l="0" t="0" r="0" b="5715"/>
              <wp:wrapNone/>
              <wp:docPr id="206531246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1741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C99AE7E" w14:textId="77777777" w:rsidR="004269B4" w:rsidRDefault="004269B4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Rio de Janeiro</w:t>
                          </w:r>
                        </w:p>
                        <w:p w14:paraId="1C99AE7F" w14:textId="77777777" w:rsidR="004269B4" w:rsidRDefault="004269B4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Praia do Flamengo, 200,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  <w:t>1º, 2º, 3º, 4º, 7º, 8º, 9º, 13º e 24º andares – CEP 22210-901 Rio de Janeiro – RJ</w:t>
                          </w:r>
                        </w:p>
                        <w:p w14:paraId="1C99AE80" w14:textId="77777777" w:rsidR="004269B4" w:rsidRDefault="004269B4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(21) 2555-0330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9A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5.55pt;margin-top:35.15pt;width:296.2pt;height:5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" filled="f" stroked="f">
              <v:textbox>
                <w:txbxContent>
                  <w:p w14:paraId="1C99AE7E" w14:textId="77777777" w:rsidR="004269B4" w:rsidRDefault="004269B4">
                    <w:pP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Rio de Janeiro</w:t>
                    </w:r>
                  </w:p>
                  <w:p w14:paraId="1C99AE7F" w14:textId="77777777" w:rsidR="004269B4" w:rsidRDefault="004269B4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Praia do Flamengo, 200,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1º, 2º, 3º, 4º, 7º, 8º, 9º, 13º e 24º andares – CEP 22210-901 Rio de Janeiro – RJ</w:t>
                    </w:r>
                  </w:p>
                  <w:p w14:paraId="1C99AE80" w14:textId="77777777" w:rsidR="004269B4" w:rsidRDefault="004269B4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(21) 2555-0330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99AE7A" wp14:editId="1C99AE7B">
              <wp:simplePos x="0" y="0"/>
              <wp:positionH relativeFrom="column">
                <wp:posOffset>542294</wp:posOffset>
              </wp:positionH>
              <wp:positionV relativeFrom="paragraph">
                <wp:posOffset>244794</wp:posOffset>
              </wp:positionV>
              <wp:extent cx="4241801" cy="202567"/>
              <wp:effectExtent l="0" t="0" r="0" b="6983"/>
              <wp:wrapNone/>
              <wp:docPr id="8511037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1" cy="20256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C99AE82" w14:textId="77777777" w:rsidR="004269B4" w:rsidRPr="00D73CE8" w:rsidRDefault="004269B4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SAC ::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sac@finep.gov.br ||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Ouvidoria ::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falabr.cgu.gov.br :: ouvidoria@finep.gov.br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99AE7A" id="Text Box 7" o:spid="_x0000_s1027" type="#_x0000_t202" style="position:absolute;left:0;text-align:left;margin-left:42.7pt;margin-top:19.3pt;width:334pt;height:1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" filled="f" stroked="f">
              <v:textbox>
                <w:txbxContent>
                  <w:p w14:paraId="1C99AE82" w14:textId="77777777" w:rsidR="004269B4" w:rsidRPr="00D73CE8" w:rsidRDefault="004269B4">
                    <w:pPr>
                      <w:rPr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SAC ::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sac@finep.gov.br || </w:t>
                    </w: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Ouvidoria ::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falabr.cgu.gov.br :: ouvidoria@finep.gov.br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9AE7C" wp14:editId="1C99AE7D">
              <wp:simplePos x="0" y="0"/>
              <wp:positionH relativeFrom="column">
                <wp:posOffset>-840735</wp:posOffset>
              </wp:positionH>
              <wp:positionV relativeFrom="paragraph">
                <wp:posOffset>238128</wp:posOffset>
              </wp:positionV>
              <wp:extent cx="1143000" cy="195581"/>
              <wp:effectExtent l="0" t="0" r="0" b="0"/>
              <wp:wrapNone/>
              <wp:docPr id="192279735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19558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C99AE84" w14:textId="77777777" w:rsidR="004269B4" w:rsidRDefault="004269B4"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6"/>
                              <w:szCs w:val="16"/>
                              <w:lang w:val="pt-BR"/>
                            </w:rPr>
                            <w:t xml:space="preserve">   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4"/>
                              <w:szCs w:val="14"/>
                              <w:lang w:val="pt-BR"/>
                            </w:rPr>
                            <w:t>www.finep.gov.br</w:t>
                          </w:r>
                        </w:p>
                        <w:p w14:paraId="1C99AE85" w14:textId="77777777" w:rsidR="004269B4" w:rsidRDefault="004269B4">
                          <w:pPr>
                            <w:rPr>
                              <w:rFonts w:ascii="Tahoma" w:hAnsi="Tahoma" w:cs="Tahoma"/>
                              <w:color w:val="8C8C8C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99AE7C" id="Text Box 4" o:spid="_x0000_s1028" type="#_x0000_t202" style="position:absolute;left:0;text-align:left;margin-left:-66.2pt;margin-top:18.75pt;width:90pt;height: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" filled="f" stroked="f">
              <v:textbox>
                <w:txbxContent>
                  <w:p w14:paraId="1C99AE84" w14:textId="77777777" w:rsidR="004269B4" w:rsidRDefault="004269B4">
                    <w:r>
                      <w:rPr>
                        <w:rFonts w:ascii="Tahoma" w:hAnsi="Tahoma" w:cs="Tahoma"/>
                        <w:b/>
                        <w:color w:val="8C8C8C"/>
                        <w:sz w:val="16"/>
                        <w:szCs w:val="16"/>
                        <w:lang w:val="pt-BR"/>
                      </w:rPr>
                      <w:t xml:space="preserve">    </w:t>
                    </w:r>
                    <w:r>
                      <w:rPr>
                        <w:rFonts w:ascii="Tahoma" w:hAnsi="Tahoma" w:cs="Tahoma"/>
                        <w:b/>
                        <w:color w:val="8C8C8C"/>
                        <w:sz w:val="14"/>
                        <w:szCs w:val="14"/>
                        <w:lang w:val="pt-BR"/>
                      </w:rPr>
                      <w:t>www.finep.gov.br</w:t>
                    </w:r>
                  </w:p>
                  <w:p w14:paraId="1C99AE85" w14:textId="77777777" w:rsidR="004269B4" w:rsidRDefault="004269B4">
                    <w:pPr>
                      <w:rPr>
                        <w:rFonts w:ascii="Tahoma" w:hAnsi="Tahoma" w:cs="Tahoma"/>
                        <w:color w:val="8C8C8C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563A" w14:textId="77777777" w:rsidR="009A6B8A" w:rsidRDefault="009A6B8A">
      <w:r>
        <w:rPr>
          <w:color w:val="000000"/>
        </w:rPr>
        <w:separator/>
      </w:r>
    </w:p>
  </w:footnote>
  <w:footnote w:type="continuationSeparator" w:id="0">
    <w:p w14:paraId="0979E4D6" w14:textId="77777777" w:rsidR="009A6B8A" w:rsidRDefault="009A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AE7E" w14:textId="77777777" w:rsidR="004269B4" w:rsidRDefault="004269B4">
    <w:pPr>
      <w:pStyle w:val="Cabealho"/>
      <w:jc w:val="right"/>
    </w:pPr>
    <w:r>
      <w:rPr>
        <w:noProof/>
      </w:rPr>
      <w:drawing>
        <wp:inline distT="0" distB="0" distL="0" distR="0" wp14:anchorId="1C99AE76" wp14:editId="1C99AE77">
          <wp:extent cx="5787959" cy="809509"/>
          <wp:effectExtent l="0" t="0" r="3241" b="0"/>
          <wp:docPr id="523331374" name="Imagem 1" descr="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7959" cy="8095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C99AE7F" w14:textId="77777777" w:rsidR="004269B4" w:rsidRDefault="004269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AC4"/>
    <w:multiLevelType w:val="multilevel"/>
    <w:tmpl w:val="EBEC636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C7D0F73"/>
    <w:multiLevelType w:val="multilevel"/>
    <w:tmpl w:val="D6541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1F2A551A"/>
    <w:multiLevelType w:val="multilevel"/>
    <w:tmpl w:val="159C70FC"/>
    <w:lvl w:ilvl="0">
      <w:numFmt w:val="bullet"/>
      <w:lvlText w:val="•"/>
      <w:lvlJc w:val="left"/>
      <w:pPr>
        <w:ind w:left="720" w:hanging="72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9777D9E"/>
    <w:multiLevelType w:val="hybridMultilevel"/>
    <w:tmpl w:val="C8A64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7456E"/>
    <w:multiLevelType w:val="hybridMultilevel"/>
    <w:tmpl w:val="86586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70E1B"/>
    <w:multiLevelType w:val="hybridMultilevel"/>
    <w:tmpl w:val="CA8E1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E5FD7"/>
    <w:multiLevelType w:val="hybridMultilevel"/>
    <w:tmpl w:val="E5EC1C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916B3"/>
    <w:multiLevelType w:val="hybridMultilevel"/>
    <w:tmpl w:val="F160B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97AFD"/>
    <w:multiLevelType w:val="hybridMultilevel"/>
    <w:tmpl w:val="F09C1B46"/>
    <w:lvl w:ilvl="0" w:tplc="10F284CC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207CA"/>
    <w:multiLevelType w:val="hybridMultilevel"/>
    <w:tmpl w:val="E2FA4E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54780D"/>
    <w:multiLevelType w:val="multilevel"/>
    <w:tmpl w:val="F1D29D04"/>
    <w:lvl w:ilvl="0">
      <w:numFmt w:val="bullet"/>
      <w:lvlText w:val="•"/>
      <w:lvlJc w:val="left"/>
      <w:pPr>
        <w:ind w:left="720" w:hanging="72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676E33E4"/>
    <w:multiLevelType w:val="multilevel"/>
    <w:tmpl w:val="F1D29D04"/>
    <w:lvl w:ilvl="0">
      <w:numFmt w:val="bullet"/>
      <w:lvlText w:val="•"/>
      <w:lvlJc w:val="left"/>
      <w:pPr>
        <w:ind w:left="720" w:hanging="72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7B9C7218"/>
    <w:multiLevelType w:val="multilevel"/>
    <w:tmpl w:val="94528D30"/>
    <w:lvl w:ilvl="0">
      <w:numFmt w:val="bullet"/>
      <w:lvlText w:val="•"/>
      <w:lvlJc w:val="left"/>
      <w:pPr>
        <w:ind w:left="720" w:hanging="72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05905">
    <w:abstractNumId w:val="12"/>
  </w:num>
  <w:num w:numId="2" w16cid:durableId="311059859">
    <w:abstractNumId w:val="11"/>
  </w:num>
  <w:num w:numId="3" w16cid:durableId="32006791">
    <w:abstractNumId w:val="2"/>
  </w:num>
  <w:num w:numId="4" w16cid:durableId="263730827">
    <w:abstractNumId w:val="1"/>
  </w:num>
  <w:num w:numId="5" w16cid:durableId="278530399">
    <w:abstractNumId w:val="5"/>
  </w:num>
  <w:num w:numId="6" w16cid:durableId="1875654446">
    <w:abstractNumId w:val="4"/>
  </w:num>
  <w:num w:numId="7" w16cid:durableId="1719627327">
    <w:abstractNumId w:val="3"/>
  </w:num>
  <w:num w:numId="8" w16cid:durableId="1108965001">
    <w:abstractNumId w:val="7"/>
  </w:num>
  <w:num w:numId="9" w16cid:durableId="2115396041">
    <w:abstractNumId w:val="6"/>
  </w:num>
  <w:num w:numId="10" w16cid:durableId="2005934898">
    <w:abstractNumId w:val="10"/>
  </w:num>
  <w:num w:numId="11" w16cid:durableId="861011994">
    <w:abstractNumId w:val="8"/>
  </w:num>
  <w:num w:numId="12" w16cid:durableId="1580752174">
    <w:abstractNumId w:val="0"/>
  </w:num>
  <w:num w:numId="13" w16cid:durableId="717432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AE"/>
    <w:rsid w:val="001358AE"/>
    <w:rsid w:val="002263E3"/>
    <w:rsid w:val="003D0FC6"/>
    <w:rsid w:val="004269B4"/>
    <w:rsid w:val="008C36EC"/>
    <w:rsid w:val="00926514"/>
    <w:rsid w:val="009A6B8A"/>
    <w:rsid w:val="00B97312"/>
    <w:rsid w:val="00D73CE8"/>
    <w:rsid w:val="00E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AE76"/>
  <w15:docId w15:val="{A738B39B-333E-4A02-BACB-4E73ECB6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PGothic" w:hAnsi="Calibri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</w:style>
  <w:style w:type="paragraph" w:customStyle="1" w:styleId="Titulo">
    <w:name w:val="Titulo"/>
    <w:basedOn w:val="Normal"/>
    <w:pPr>
      <w:spacing w:line="276" w:lineRule="auto"/>
    </w:pPr>
    <w:rPr>
      <w:rFonts w:ascii="Tahoma" w:hAnsi="Tahoma" w:cs="Tahoma"/>
      <w:color w:val="005051"/>
      <w:sz w:val="44"/>
    </w:rPr>
  </w:style>
  <w:style w:type="paragraph" w:customStyle="1" w:styleId="Texto">
    <w:name w:val="Texto"/>
    <w:basedOn w:val="Normal"/>
    <w:pPr>
      <w:spacing w:line="276" w:lineRule="auto"/>
    </w:pPr>
    <w:rPr>
      <w:rFonts w:ascii="Tahoma" w:hAnsi="Tahoma" w:cs="Tahoma"/>
      <w:sz w:val="22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lang w:val="pt-BR" w:eastAsia="pt-BR"/>
    </w:rPr>
  </w:style>
  <w:style w:type="paragraph" w:styleId="Corpodetexto2">
    <w:name w:val="Body Text 2"/>
    <w:basedOn w:val="Normal"/>
    <w:pPr>
      <w:suppressAutoHyphens w:val="0"/>
      <w:jc w:val="center"/>
      <w:textAlignment w:val="auto"/>
    </w:pPr>
    <w:rPr>
      <w:rFonts w:ascii="Arial" w:eastAsia="Times New Roman" w:hAnsi="Arial"/>
      <w:b/>
      <w:sz w:val="28"/>
      <w:szCs w:val="20"/>
      <w:lang w:val="pt-BR" w:eastAsia="pt-BR"/>
    </w:rPr>
  </w:style>
  <w:style w:type="character" w:customStyle="1" w:styleId="Corpodetexto2Char">
    <w:name w:val="Corpo de texto 2 Char"/>
    <w:basedOn w:val="Fontepargpadro"/>
    <w:rPr>
      <w:rFonts w:ascii="Arial" w:eastAsia="Times New Roman" w:hAnsi="Arial"/>
      <w:b/>
      <w:sz w:val="28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Fontepargpadro1">
    <w:name w:val="Fonte parág. padrão1"/>
  </w:style>
  <w:style w:type="paragraph" w:customStyle="1" w:styleId="Normal1">
    <w:name w:val="Normal1"/>
    <w:pPr>
      <w:suppressAutoHyphens/>
      <w:spacing w:line="100" w:lineRule="atLeast"/>
      <w:textAlignment w:val="baseline"/>
    </w:pPr>
    <w:rPr>
      <w:rFonts w:ascii="Times New Roman" w:eastAsia="Times New Roman" w:hAnsi="Times New Roman"/>
      <w:lang w:val="en-US" w:eastAsia="ar-SA"/>
    </w:rPr>
  </w:style>
  <w:style w:type="paragraph" w:customStyle="1" w:styleId="TableParagraph">
    <w:name w:val="Table Paragraph"/>
    <w:basedOn w:val="Normal1"/>
    <w:pPr>
      <w:widowControl w:val="0"/>
    </w:pPr>
    <w:rPr>
      <w:rFonts w:ascii="Calibri" w:eastAsia="Calibri" w:hAnsi="Calibri"/>
      <w:sz w:val="22"/>
      <w:szCs w:val="22"/>
    </w:rPr>
  </w:style>
  <w:style w:type="paragraph" w:styleId="Ttulo">
    <w:name w:val="Title"/>
    <w:basedOn w:val="Normal"/>
    <w:uiPriority w:val="10"/>
    <w:qFormat/>
    <w:pPr>
      <w:widowControl w:val="0"/>
      <w:jc w:val="center"/>
    </w:pPr>
    <w:rPr>
      <w:rFonts w:ascii="Arial" w:eastAsia="Times New Roman" w:hAnsi="Arial"/>
      <w:b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rPr>
      <w:rFonts w:ascii="Arial" w:eastAsia="Times New Roman" w:hAnsi="Arial"/>
      <w:b/>
      <w:sz w:val="24"/>
      <w:u w:val="single"/>
    </w:rPr>
  </w:style>
  <w:style w:type="paragraph" w:styleId="Recuodecorpodetexto3">
    <w:name w:val="Body Text Indent 3"/>
    <w:basedOn w:val="Normal"/>
    <w:pPr>
      <w:widowControl w:val="0"/>
      <w:spacing w:after="120"/>
      <w:ind w:left="283"/>
    </w:pPr>
    <w:rPr>
      <w:rFonts w:ascii="Arial" w:eastAsia="Times New Roman" w:hAnsi="Arial"/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rPr>
      <w:rFonts w:ascii="Arial" w:eastAsia="Times New Roman" w:hAnsi="Arial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rFonts w:eastAsia="Times New Roman"/>
      <w:sz w:val="22"/>
      <w:szCs w:val="22"/>
      <w:lang w:eastAsia="en-US"/>
    </w:rPr>
  </w:style>
  <w:style w:type="character" w:customStyle="1" w:styleId="Tipodeletrapredefinidodopargrafo">
    <w:name w:val="Tipo de letra predefinido do parágrafo"/>
  </w:style>
  <w:style w:type="paragraph" w:customStyle="1" w:styleId="Default">
    <w:name w:val="Default"/>
    <w:pPr>
      <w:suppressAutoHyphens/>
      <w:autoSpaceDE w:val="0"/>
      <w:textAlignment w:val="baseline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wnload.finep.gov.br/Tutorial_Cadastro_Nao_Reembolsavel_SISGO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inep.gov.br/area-para-clientes-externo/financiamento-nao-reembolsave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p_centrostematicos2025@finep.gov.b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ZUA2VSOMuG4" TargetMode="External"/><Relationship Id="rId10" Type="http://schemas.openxmlformats.org/officeDocument/2006/relationships/hyperlink" Target="https://financiamento.finep.gov.b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wnload.finep.gov.br/Tutorial_Preenchimento_Propostas_Nao_Reembolsavel_SISG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6ED6867C10542BE9FD2CD0E7C8E69" ma:contentTypeVersion="11" ma:contentTypeDescription="Crie um novo documento." ma:contentTypeScope="" ma:versionID="9b60a247eb8dc83ab6bbbfad443f6af7">
  <xsd:schema xmlns:xsd="http://www.w3.org/2001/XMLSchema" xmlns:xs="http://www.w3.org/2001/XMLSchema" xmlns:p="http://schemas.microsoft.com/office/2006/metadata/properties" xmlns:ns2="410e4101-7798-4b51-8cdb-b43f999cfda3" targetNamespace="http://schemas.microsoft.com/office/2006/metadata/properties" ma:root="true" ma:fieldsID="a5410aef2f1dd4f23dc3c58811ff37d9" ns2:_="">
    <xsd:import namespace="410e4101-7798-4b51-8cdb-b43f999cf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e4101-7798-4b51-8cdb-b43f999cf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9dedead9-c757-482c-9d9c-129f1bf77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0e4101-7798-4b51-8cdb-b43f999cf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25DE17-10BF-400D-B657-34B37489C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0C611-2F42-4944-B356-EC7573196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e4101-7798-4b51-8cdb-b43f999cf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339FD-418F-44B2-B6FC-B344CDBBDB18}">
  <ds:schemaRefs>
    <ds:schemaRef ds:uri="http://schemas.microsoft.com/office/2006/metadata/properties"/>
    <ds:schemaRef ds:uri="http://schemas.microsoft.com/office/infopath/2007/PartnerControls"/>
    <ds:schemaRef ds:uri="410e4101-7798-4b51-8cdb-b43f999cf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921</Words>
  <Characters>6036</Characters>
  <Application>Microsoft Office Word</Application>
  <DocSecurity>0</DocSecurity>
  <Lines>163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Barbosa de Oliveira</dc:creator>
  <cp:lastModifiedBy>Guilherme Henrique Ismael de Azevedo</cp:lastModifiedBy>
  <cp:revision>4</cp:revision>
  <cp:lastPrinted>2024-12-03T17:16:00Z</cp:lastPrinted>
  <dcterms:created xsi:type="dcterms:W3CDTF">2025-12-18T17:51:00Z</dcterms:created>
  <dcterms:modified xsi:type="dcterms:W3CDTF">2025-12-18T18:26:00Z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0x010100EBA6ED6867C10542BE9FD2CD0E7C8E69</vt:lpwstr>
  </property>
</Properties>
</file>